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B4E4" w14:textId="08F238D6" w:rsidR="00CB4F72" w:rsidRPr="00C66FD3" w:rsidRDefault="00CB4F72" w:rsidP="00CB4F72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SCHVÁLENÝ</w:t>
      </w:r>
      <w:r>
        <w:rPr>
          <w:b/>
          <w:sz w:val="40"/>
          <w:szCs w:val="40"/>
        </w:rPr>
        <w:t xml:space="preserve"> </w:t>
      </w:r>
      <w:r w:rsidRPr="00C66FD3">
        <w:rPr>
          <w:b/>
          <w:sz w:val="40"/>
          <w:szCs w:val="40"/>
        </w:rPr>
        <w:t>ZÁVĚREČN</w:t>
      </w:r>
      <w:r>
        <w:rPr>
          <w:b/>
          <w:sz w:val="40"/>
          <w:szCs w:val="40"/>
        </w:rPr>
        <w:t>Ý</w:t>
      </w:r>
      <w:r>
        <w:rPr>
          <w:b/>
          <w:sz w:val="40"/>
          <w:szCs w:val="40"/>
        </w:rPr>
        <w:t xml:space="preserve"> </w:t>
      </w:r>
      <w:r w:rsidRPr="00C66FD3">
        <w:rPr>
          <w:b/>
          <w:sz w:val="40"/>
          <w:szCs w:val="40"/>
        </w:rPr>
        <w:t>ÚČ</w:t>
      </w:r>
      <w:r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T</w:t>
      </w:r>
      <w:r w:rsidRPr="00C66FD3">
        <w:rPr>
          <w:b/>
          <w:sz w:val="40"/>
          <w:szCs w:val="40"/>
        </w:rPr>
        <w:t xml:space="preserve"> ZA ROK  20</w:t>
      </w:r>
      <w:r>
        <w:rPr>
          <w:b/>
          <w:sz w:val="40"/>
          <w:szCs w:val="40"/>
        </w:rPr>
        <w:t>21</w:t>
      </w:r>
    </w:p>
    <w:p w14:paraId="7C85479F" w14:textId="77777777" w:rsidR="00CB4F72" w:rsidRPr="00C66FD3" w:rsidRDefault="00CB4F72" w:rsidP="00CB4F72">
      <w:pPr>
        <w:rPr>
          <w:b/>
          <w:sz w:val="36"/>
          <w:szCs w:val="36"/>
        </w:rPr>
      </w:pPr>
      <w:r w:rsidRPr="00C66FD3">
        <w:rPr>
          <w:b/>
          <w:sz w:val="36"/>
          <w:szCs w:val="36"/>
        </w:rPr>
        <w:t>Obec Mikolajice</w:t>
      </w:r>
    </w:p>
    <w:p w14:paraId="201992D4" w14:textId="77777777" w:rsidR="00CB4F72" w:rsidRPr="00C66FD3" w:rsidRDefault="00CB4F72" w:rsidP="00CB4F72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PŘÍJMY</w:t>
      </w:r>
    </w:p>
    <w:p w14:paraId="1022906E" w14:textId="77777777" w:rsidR="00CB4F72" w:rsidRPr="00C66FD3" w:rsidRDefault="00CB4F72" w:rsidP="00CB4F72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Schválený rozpočet příjmů činil Kč </w:t>
      </w:r>
      <w:r>
        <w:rPr>
          <w:sz w:val="24"/>
          <w:szCs w:val="24"/>
        </w:rPr>
        <w:t>11.295.100,</w:t>
      </w:r>
      <w:r w:rsidRPr="00C66FD3">
        <w:rPr>
          <w:sz w:val="24"/>
          <w:szCs w:val="24"/>
        </w:rPr>
        <w:t xml:space="preserve">-, rozpočet po změnách činil Kč </w:t>
      </w:r>
      <w:proofErr w:type="gramStart"/>
      <w:r>
        <w:rPr>
          <w:sz w:val="24"/>
          <w:szCs w:val="24"/>
        </w:rPr>
        <w:t>8.995.100,-</w:t>
      </w:r>
      <w:proofErr w:type="gramEnd"/>
      <w:r>
        <w:rPr>
          <w:sz w:val="24"/>
          <w:szCs w:val="24"/>
        </w:rPr>
        <w:t>,</w:t>
      </w:r>
      <w:r w:rsidRPr="00C66FD3">
        <w:rPr>
          <w:sz w:val="24"/>
          <w:szCs w:val="24"/>
        </w:rPr>
        <w:t xml:space="preserve"> skutečné příjmy za rok 20</w:t>
      </w:r>
      <w:r>
        <w:rPr>
          <w:sz w:val="24"/>
          <w:szCs w:val="24"/>
        </w:rPr>
        <w:t>21</w:t>
      </w:r>
      <w:r w:rsidRPr="00C66FD3">
        <w:rPr>
          <w:sz w:val="24"/>
          <w:szCs w:val="24"/>
        </w:rPr>
        <w:t xml:space="preserve"> činily Kč </w:t>
      </w:r>
      <w:r>
        <w:rPr>
          <w:sz w:val="24"/>
          <w:szCs w:val="24"/>
        </w:rPr>
        <w:t>7.956.473,29</w:t>
      </w:r>
      <w:r w:rsidRPr="00C66FD3">
        <w:rPr>
          <w:sz w:val="24"/>
          <w:szCs w:val="24"/>
        </w:rPr>
        <w:t>. Součástí daňových příjmů jsou veškeré daně podle jednotlivých koeficientů vybírány prostřednictvím FÚ, dále pak poplatky vybírané na základě vyhlášky (psi,</w:t>
      </w:r>
      <w:r>
        <w:rPr>
          <w:sz w:val="24"/>
          <w:szCs w:val="24"/>
        </w:rPr>
        <w:t xml:space="preserve"> </w:t>
      </w:r>
      <w:r w:rsidRPr="00C66FD3">
        <w:rPr>
          <w:sz w:val="24"/>
          <w:szCs w:val="24"/>
        </w:rPr>
        <w:t xml:space="preserve">veřejné prostranství). </w:t>
      </w:r>
      <w:proofErr w:type="gramStart"/>
      <w:r w:rsidRPr="00C66FD3">
        <w:rPr>
          <w:sz w:val="24"/>
          <w:szCs w:val="24"/>
        </w:rPr>
        <w:t>Nedaňové  příjmy</w:t>
      </w:r>
      <w:proofErr w:type="gramEnd"/>
      <w:r w:rsidRPr="00C66FD3">
        <w:rPr>
          <w:sz w:val="24"/>
          <w:szCs w:val="24"/>
        </w:rPr>
        <w:t xml:space="preserve"> jsou příjmy z pronájmu majetku, finanční výnosy, příjmy za sběr a svoz TDO – služby občanům, prodej pytlů na plast, a dále příjmy z</w:t>
      </w:r>
      <w:r>
        <w:rPr>
          <w:sz w:val="24"/>
          <w:szCs w:val="24"/>
        </w:rPr>
        <w:t> </w:t>
      </w:r>
      <w:r w:rsidRPr="00C66FD3">
        <w:rPr>
          <w:sz w:val="24"/>
          <w:szCs w:val="24"/>
        </w:rPr>
        <w:t>dotací.</w:t>
      </w:r>
      <w:r>
        <w:rPr>
          <w:sz w:val="24"/>
          <w:szCs w:val="24"/>
        </w:rPr>
        <w:t xml:space="preserve"> 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990"/>
        <w:gridCol w:w="1948"/>
        <w:gridCol w:w="2500"/>
      </w:tblGrid>
      <w:tr w:rsidR="00CB4F72" w:rsidRPr="002A5C83" w14:paraId="78187DC6" w14:textId="77777777" w:rsidTr="003B1CEA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565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plnění rozpočtu příjmů za rok 20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777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15B9DABF" w14:textId="77777777" w:rsidTr="003B1CEA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459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811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6EE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71E3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400451E4" w14:textId="77777777" w:rsidTr="003B1CEA">
        <w:trPr>
          <w:trHeight w:val="30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D97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948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schválený rozpočet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750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upravený rozpočet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ED4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skutečné plnění rozpočtu</w:t>
            </w:r>
          </w:p>
        </w:tc>
      </w:tr>
      <w:tr w:rsidR="00CB4F72" w:rsidRPr="002A5C83" w14:paraId="62F3CDAF" w14:textId="77777777" w:rsidTr="003B1CEA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0BB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4CC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3.617.000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F29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4.596.452,00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1029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4.562.022,47</w:t>
            </w:r>
          </w:p>
        </w:tc>
      </w:tr>
      <w:tr w:rsidR="00CB4F72" w:rsidRPr="002A5C83" w14:paraId="4F14C05C" w14:textId="77777777" w:rsidTr="003B1CEA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5C8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003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1.240.000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26F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680.850,00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303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223.973,00</w:t>
            </w:r>
          </w:p>
        </w:tc>
      </w:tr>
      <w:tr w:rsidR="00CB4F72" w:rsidRPr="002A5C83" w14:paraId="5EB0ABDC" w14:textId="77777777" w:rsidTr="003B1CEA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671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1E8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77E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7D2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</w:tr>
      <w:tr w:rsidR="00CB4F72" w:rsidRPr="002A5C83" w14:paraId="19C00E19" w14:textId="77777777" w:rsidTr="003B1CEA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615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155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6.338.100,00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B38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3.417.798,00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5CE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3.061.977,82</w:t>
            </w:r>
          </w:p>
        </w:tc>
      </w:tr>
      <w:tr w:rsidR="00CB4F72" w:rsidRPr="002A5C83" w14:paraId="6B6761A4" w14:textId="77777777" w:rsidTr="003B1CEA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BE3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41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10.995.100,00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FF1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8.695.100,00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2B5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7.847.973,29</w:t>
            </w:r>
          </w:p>
        </w:tc>
      </w:tr>
    </w:tbl>
    <w:p w14:paraId="7819D340" w14:textId="77777777" w:rsidR="00CB4F72" w:rsidRDefault="00CB4F72" w:rsidP="00CB4F72">
      <w:r>
        <w:t>Převody vlastním fondům            300.000,00</w:t>
      </w:r>
      <w:r>
        <w:tab/>
        <w:t xml:space="preserve">        </w:t>
      </w:r>
      <w:proofErr w:type="gramStart"/>
      <w:r>
        <w:t>300.000,-</w:t>
      </w:r>
      <w:proofErr w:type="gramEnd"/>
      <w:r>
        <w:tab/>
      </w:r>
      <w:r>
        <w:tab/>
        <w:t xml:space="preserve">               108.500,00</w:t>
      </w:r>
    </w:p>
    <w:p w14:paraId="11CA3610" w14:textId="77777777" w:rsidR="00CB4F72" w:rsidRPr="00B7363B" w:rsidRDefault="00CB4F72" w:rsidP="00CB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11.295.100,00</w:t>
      </w:r>
      <w:r>
        <w:rPr>
          <w:b/>
          <w:sz w:val="24"/>
          <w:szCs w:val="24"/>
        </w:rPr>
        <w:tab/>
        <w:t xml:space="preserve">   8.995.100,00</w:t>
      </w:r>
      <w:r>
        <w:rPr>
          <w:b/>
          <w:sz w:val="24"/>
          <w:szCs w:val="24"/>
        </w:rPr>
        <w:tab/>
        <w:t xml:space="preserve">          7.956.473,29</w:t>
      </w:r>
    </w:p>
    <w:p w14:paraId="1588C860" w14:textId="77777777" w:rsidR="00CB4F72" w:rsidRPr="00C66FD3" w:rsidRDefault="00CB4F72" w:rsidP="00CB4F72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VÝDAJE</w:t>
      </w:r>
    </w:p>
    <w:p w14:paraId="3B7BC612" w14:textId="77777777" w:rsidR="00CB4F72" w:rsidRPr="00C66FD3" w:rsidRDefault="00CB4F72" w:rsidP="00CB4F72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Ve výdajích byl schválený rozpočet ve výši Kč </w:t>
      </w:r>
      <w:r>
        <w:rPr>
          <w:sz w:val="24"/>
          <w:szCs w:val="24"/>
        </w:rPr>
        <w:t>13.915.100,</w:t>
      </w:r>
      <w:r w:rsidRPr="00C66FD3">
        <w:rPr>
          <w:sz w:val="24"/>
          <w:szCs w:val="24"/>
        </w:rPr>
        <w:t>-,</w:t>
      </w:r>
      <w:r>
        <w:rPr>
          <w:sz w:val="24"/>
          <w:szCs w:val="24"/>
        </w:rPr>
        <w:t xml:space="preserve"> a splátky úvěrů ve výši Kč 380.000,- rozpočet</w:t>
      </w:r>
      <w:r w:rsidRPr="00C66FD3">
        <w:rPr>
          <w:sz w:val="24"/>
          <w:szCs w:val="24"/>
        </w:rPr>
        <w:t xml:space="preserve"> po změnách </w:t>
      </w:r>
      <w:proofErr w:type="gramStart"/>
      <w:r>
        <w:rPr>
          <w:sz w:val="24"/>
          <w:szCs w:val="24"/>
        </w:rPr>
        <w:t>13.915.100,-</w:t>
      </w:r>
      <w:proofErr w:type="gramEnd"/>
      <w:r>
        <w:rPr>
          <w:sz w:val="24"/>
          <w:szCs w:val="24"/>
        </w:rPr>
        <w:t xml:space="preserve"> a splátky úvěrů ve výši Kč 380.000,00, s</w:t>
      </w:r>
      <w:r w:rsidRPr="00C66FD3">
        <w:rPr>
          <w:sz w:val="24"/>
          <w:szCs w:val="24"/>
        </w:rPr>
        <w:t xml:space="preserve">kutečné výdaje činily Kč </w:t>
      </w:r>
      <w:r>
        <w:rPr>
          <w:sz w:val="24"/>
          <w:szCs w:val="24"/>
        </w:rPr>
        <w:t>10.676.830,66 a splátky úvěrů Kč 90.000,00</w:t>
      </w:r>
      <w:r w:rsidRPr="00C66FD3">
        <w:rPr>
          <w:sz w:val="24"/>
          <w:szCs w:val="24"/>
        </w:rPr>
        <w:t xml:space="preserve">. 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986"/>
        <w:gridCol w:w="1944"/>
        <w:gridCol w:w="2500"/>
      </w:tblGrid>
      <w:tr w:rsidR="00CB4F72" w:rsidRPr="002A5C83" w14:paraId="1C30883F" w14:textId="77777777" w:rsidTr="003B1CEA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70D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plnění rozpočtu výdajů za rok 20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E48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2023E034" w14:textId="77777777" w:rsidTr="003B1CEA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32F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1B1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EF2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3DF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3865C559" w14:textId="77777777" w:rsidTr="003B1CEA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B97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9B62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schválený rozpočet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C0A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upravený rozpočet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284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skutečné plnění rozpočtu</w:t>
            </w:r>
          </w:p>
        </w:tc>
      </w:tr>
      <w:tr w:rsidR="00CB4F72" w:rsidRPr="002A5C83" w14:paraId="11E239FD" w14:textId="77777777" w:rsidTr="003B1CEA">
        <w:trPr>
          <w:trHeight w:val="3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78B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BAA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8.425.100,00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D20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6.402.100,00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2B2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4.310.428,51</w:t>
            </w:r>
          </w:p>
        </w:tc>
      </w:tr>
      <w:tr w:rsidR="00CB4F72" w:rsidRPr="002A5C83" w14:paraId="111DAB93" w14:textId="77777777" w:rsidTr="003B1CEA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1CA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C2D28">
              <w:rPr>
                <w:rFonts w:eastAsia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2AD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5.190.100,00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47C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7.213.000</w:t>
            </w:r>
            <w:r w:rsidRPr="005C2D28">
              <w:rPr>
                <w:rFonts w:eastAsia="Times New Roman"/>
                <w:color w:val="000000"/>
                <w:lang w:eastAsia="cs-CZ"/>
              </w:rPr>
              <w:t>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DE9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6.316.402,15</w:t>
            </w:r>
          </w:p>
        </w:tc>
      </w:tr>
      <w:tr w:rsidR="00CB4F72" w:rsidRPr="002A5C83" w14:paraId="26CEF337" w14:textId="77777777" w:rsidTr="003B1CEA">
        <w:trPr>
          <w:trHeight w:val="31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D768" w14:textId="77777777" w:rsidR="00CB4F72" w:rsidRPr="005C2D28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2D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82AE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13.615.100,00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524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13.615.100,00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E4D" w14:textId="77777777" w:rsidR="00CB4F72" w:rsidRPr="005C2D28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10.626.830,66</w:t>
            </w:r>
          </w:p>
        </w:tc>
      </w:tr>
    </w:tbl>
    <w:p w14:paraId="6C55468A" w14:textId="77777777" w:rsidR="00CB4F72" w:rsidRDefault="00CB4F72" w:rsidP="00CB4F72">
      <w:r>
        <w:t>Převody do vlastní pokladny     300.000,00</w:t>
      </w:r>
      <w:r>
        <w:tab/>
        <w:t xml:space="preserve">         300.000,00</w:t>
      </w:r>
      <w:r>
        <w:tab/>
      </w:r>
      <w:r>
        <w:tab/>
        <w:t xml:space="preserve">    50.000,00</w:t>
      </w:r>
    </w:p>
    <w:p w14:paraId="1E8019DD" w14:textId="77777777" w:rsidR="00CB4F72" w:rsidRPr="00DE754C" w:rsidRDefault="00CB4F72" w:rsidP="00CB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 w:rsidRPr="00DE7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DE754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13.915.100</w:t>
      </w:r>
      <w:r w:rsidRPr="00DE754C">
        <w:rPr>
          <w:b/>
          <w:sz w:val="24"/>
          <w:szCs w:val="24"/>
        </w:rPr>
        <w:t>,00</w:t>
      </w:r>
      <w:r w:rsidRPr="00DE754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13.915.100,00</w:t>
      </w:r>
      <w:r w:rsidRPr="00DE754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10.676.830,66</w:t>
      </w:r>
      <w:r w:rsidRPr="00DE754C">
        <w:rPr>
          <w:b/>
          <w:sz w:val="24"/>
          <w:szCs w:val="24"/>
        </w:rPr>
        <w:tab/>
      </w:r>
    </w:p>
    <w:p w14:paraId="336D0555" w14:textId="77777777" w:rsidR="00CB4F72" w:rsidRPr="00DE754C" w:rsidRDefault="00CB4F72" w:rsidP="00CB4F72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Podrobné členění příjmů a výdajů jsou uvedené ve výkazu FIN 2-12, a jsou k nahlédnutí na obecním úřadě. </w:t>
      </w:r>
      <w:r>
        <w:rPr>
          <w:sz w:val="24"/>
          <w:szCs w:val="24"/>
        </w:rPr>
        <w:t>Výkazy (</w:t>
      </w:r>
      <w:proofErr w:type="spellStart"/>
      <w:proofErr w:type="gramStart"/>
      <w:r>
        <w:rPr>
          <w:sz w:val="24"/>
          <w:szCs w:val="24"/>
        </w:rPr>
        <w:t>rozvaha,výkaz</w:t>
      </w:r>
      <w:proofErr w:type="spellEnd"/>
      <w:proofErr w:type="gramEnd"/>
      <w:r>
        <w:rPr>
          <w:sz w:val="24"/>
          <w:szCs w:val="24"/>
        </w:rPr>
        <w:t xml:space="preserve"> zisku a ztrát, příloha) jsou k nahlédnutí na obecním úřadě.</w:t>
      </w:r>
    </w:p>
    <w:p w14:paraId="787263BE" w14:textId="77777777" w:rsidR="00CB4F72" w:rsidRPr="00C66FD3" w:rsidRDefault="00CB4F72" w:rsidP="00CB4F72">
      <w:pPr>
        <w:rPr>
          <w:b/>
          <w:sz w:val="32"/>
          <w:szCs w:val="32"/>
        </w:rPr>
      </w:pPr>
      <w:proofErr w:type="gramStart"/>
      <w:r w:rsidRPr="00C66FD3">
        <w:rPr>
          <w:b/>
          <w:sz w:val="32"/>
          <w:szCs w:val="32"/>
        </w:rPr>
        <w:lastRenderedPageBreak/>
        <w:t>HOSPODÁŘSKÁ  ČINNOST</w:t>
      </w:r>
      <w:proofErr w:type="gramEnd"/>
      <w:r w:rsidRPr="00C66FD3">
        <w:rPr>
          <w:b/>
          <w:sz w:val="32"/>
          <w:szCs w:val="32"/>
        </w:rPr>
        <w:t xml:space="preserve"> OBCE</w:t>
      </w:r>
    </w:p>
    <w:p w14:paraId="5769765E" w14:textId="77777777" w:rsidR="00CB4F72" w:rsidRPr="00CF13CF" w:rsidRDefault="00CB4F72" w:rsidP="00CB4F72">
      <w:pPr>
        <w:rPr>
          <w:sz w:val="24"/>
          <w:szCs w:val="24"/>
        </w:rPr>
      </w:pPr>
      <w:r w:rsidRPr="00C66FD3">
        <w:rPr>
          <w:sz w:val="24"/>
          <w:szCs w:val="24"/>
        </w:rPr>
        <w:t>Obec ved</w:t>
      </w:r>
      <w:r>
        <w:rPr>
          <w:sz w:val="24"/>
          <w:szCs w:val="24"/>
        </w:rPr>
        <w:t>la do 31. 8. 2017</w:t>
      </w:r>
      <w:r w:rsidRPr="00C66FD3">
        <w:rPr>
          <w:sz w:val="24"/>
          <w:szCs w:val="24"/>
        </w:rPr>
        <w:t xml:space="preserve"> hospodářskou činnost na tyto výnosy </w:t>
      </w:r>
      <w:r>
        <w:rPr>
          <w:sz w:val="24"/>
          <w:szCs w:val="24"/>
        </w:rPr>
        <w:t>(prodejna potravin a hospoda, lesy a voda, sál, ubytovna) a od 1. 9. 2017 převedla na společnost Služby Mikolajice s.r.o. prodejnu potravin, hospodu, sál a ubytovnu. Do 31. 12. 2021 zůstaly v hospodářské činnosti obce lesy a voda, a s tím souv</w:t>
      </w:r>
      <w:r w:rsidRPr="00C66FD3">
        <w:rPr>
          <w:sz w:val="24"/>
          <w:szCs w:val="24"/>
        </w:rPr>
        <w:t xml:space="preserve">isející </w:t>
      </w:r>
      <w:r>
        <w:rPr>
          <w:sz w:val="24"/>
          <w:szCs w:val="24"/>
        </w:rPr>
        <w:t xml:space="preserve">výnosy a </w:t>
      </w:r>
      <w:r w:rsidRPr="00C66FD3">
        <w:rPr>
          <w:sz w:val="24"/>
          <w:szCs w:val="24"/>
        </w:rPr>
        <w:t>náklady</w:t>
      </w:r>
      <w:r>
        <w:rPr>
          <w:sz w:val="24"/>
          <w:szCs w:val="24"/>
        </w:rPr>
        <w:t xml:space="preserve">. Hospodaření v lesích se zdá ztrátové, pokud se k výnosům připočítají přijaté dotace v částce Kč </w:t>
      </w:r>
      <w:proofErr w:type="gramStart"/>
      <w:r>
        <w:rPr>
          <w:sz w:val="24"/>
          <w:szCs w:val="24"/>
        </w:rPr>
        <w:t>99.509,-</w:t>
      </w:r>
      <w:proofErr w:type="gramEnd"/>
      <w:r>
        <w:rPr>
          <w:sz w:val="24"/>
          <w:szCs w:val="24"/>
        </w:rPr>
        <w:t>, pak jsou lehce ziskové.</w:t>
      </w:r>
    </w:p>
    <w:tbl>
      <w:tblPr>
        <w:tblW w:w="5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768"/>
        <w:gridCol w:w="1768"/>
      </w:tblGrid>
      <w:tr w:rsidR="00CB4F72" w:rsidRPr="002A5C83" w14:paraId="7F4F4750" w14:textId="77777777" w:rsidTr="003B1CEA">
        <w:trPr>
          <w:trHeight w:val="315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E837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59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údaje o hospodářské činnosti rok 20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CB4F72" w:rsidRPr="002A5C83" w14:paraId="09C25760" w14:textId="77777777" w:rsidTr="003B1CEA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D741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096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844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1588BFF7" w14:textId="77777777" w:rsidTr="003B1CEA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EBC49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487D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výnosy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A294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náklady</w:t>
            </w:r>
          </w:p>
        </w:tc>
      </w:tr>
      <w:tr w:rsidR="00CB4F72" w:rsidRPr="002A5C83" w14:paraId="30A01E90" w14:textId="77777777" w:rsidTr="003B1CEA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30C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voda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5AA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270.723,67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096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253.251,10</w:t>
            </w:r>
          </w:p>
        </w:tc>
      </w:tr>
      <w:tr w:rsidR="00CB4F72" w:rsidRPr="002A5C83" w14:paraId="706F63AD" w14:textId="77777777" w:rsidTr="003B1CEA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C83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lesy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FB08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138.307,26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9A5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211.928,74</w:t>
            </w:r>
          </w:p>
        </w:tc>
      </w:tr>
      <w:tr w:rsidR="00CB4F72" w:rsidRPr="002A5C83" w14:paraId="284E8136" w14:textId="77777777" w:rsidTr="003B1CEA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E3E6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ostatní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D8BB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122.140,62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403E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141.612,30</w:t>
            </w:r>
          </w:p>
        </w:tc>
      </w:tr>
      <w:tr w:rsidR="00CB4F72" w:rsidRPr="002A5C83" w14:paraId="7CB98EAF" w14:textId="77777777" w:rsidTr="003B1CEA">
        <w:trPr>
          <w:trHeight w:val="3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3AA" w14:textId="77777777" w:rsidR="00CB4F72" w:rsidRPr="00BC10D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42CC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77B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255A3CD7" w14:textId="77777777" w:rsidTr="003B1CEA">
        <w:trPr>
          <w:trHeight w:val="31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A14" w14:textId="77777777" w:rsidR="00CB4F72" w:rsidRPr="006F596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F59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0DF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531.171,55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B60" w14:textId="77777777" w:rsidR="00CB4F72" w:rsidRPr="006F5964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606.792,14</w:t>
            </w:r>
          </w:p>
        </w:tc>
      </w:tr>
    </w:tbl>
    <w:p w14:paraId="11DCCB37" w14:textId="77777777" w:rsidR="00CB4F72" w:rsidRDefault="00CB4F72" w:rsidP="00CB4F72">
      <w:pPr>
        <w:pStyle w:val="Odstavecseseznamem"/>
      </w:pPr>
    </w:p>
    <w:p w14:paraId="5E6CBEEA" w14:textId="77777777" w:rsidR="00CB4F72" w:rsidRPr="00C66FD3" w:rsidRDefault="00CB4F72" w:rsidP="00CB4F72">
      <w:pPr>
        <w:rPr>
          <w:sz w:val="24"/>
          <w:szCs w:val="24"/>
        </w:rPr>
      </w:pPr>
      <w:r w:rsidRPr="00C66FD3">
        <w:rPr>
          <w:sz w:val="24"/>
          <w:szCs w:val="24"/>
        </w:rPr>
        <w:t>Náklady a výnosy nejsou součástí rozpočtu, jsou vedeny na samostatných účtech dle analytického členění dle činností. Příjmy jsou dle potře</w:t>
      </w:r>
      <w:r>
        <w:rPr>
          <w:sz w:val="24"/>
          <w:szCs w:val="24"/>
        </w:rPr>
        <w:t xml:space="preserve">by začleňovány do rozpočtu přes </w:t>
      </w:r>
      <w:r w:rsidRPr="00C66FD3">
        <w:rPr>
          <w:sz w:val="24"/>
          <w:szCs w:val="24"/>
        </w:rPr>
        <w:t>položku 4131. Podrobné členění ve výkazu zisku a ztrát a rozvaze.</w:t>
      </w:r>
      <w:r>
        <w:rPr>
          <w:sz w:val="24"/>
          <w:szCs w:val="24"/>
        </w:rPr>
        <w:t xml:space="preserve"> V roce 2021 vykázala hospodářská činnost obce ztrátu ve výši Kč 75.620,59.</w:t>
      </w:r>
    </w:p>
    <w:p w14:paraId="0CE51138" w14:textId="77777777" w:rsidR="00CB4F72" w:rsidRPr="00C66FD3" w:rsidRDefault="00CB4F72" w:rsidP="00CB4F72">
      <w:pPr>
        <w:rPr>
          <w:b/>
          <w:sz w:val="28"/>
          <w:szCs w:val="28"/>
        </w:rPr>
      </w:pPr>
      <w:r w:rsidRPr="00C66FD3">
        <w:rPr>
          <w:b/>
          <w:sz w:val="28"/>
          <w:szCs w:val="28"/>
        </w:rPr>
        <w:t>Vyúčtování finančních vztahů ke státnímu rozpočtu a ostatním rozpočtům veřejné úrovně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379"/>
        <w:gridCol w:w="1376"/>
      </w:tblGrid>
      <w:tr w:rsidR="00CB4F72" w:rsidRPr="002A5C83" w14:paraId="011F8D06" w14:textId="77777777" w:rsidTr="003B1CEA">
        <w:trPr>
          <w:trHeight w:val="31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4EA2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B4F72" w:rsidRPr="002A5C83" w14:paraId="33595C46" w14:textId="77777777" w:rsidTr="003B1CEA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F6F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E44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ČČK Mikolajice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CFB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23A6F3F3" w14:textId="77777777" w:rsidTr="003B1CE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346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FBD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příjmy z OÚ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F0C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výdaje ČČK</w:t>
            </w:r>
          </w:p>
        </w:tc>
      </w:tr>
      <w:tr w:rsidR="00CB4F72" w:rsidRPr="002A5C83" w14:paraId="231B7D11" w14:textId="77777777" w:rsidTr="003B1CE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D07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dětský karneval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7E2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29FB" w14:textId="77777777" w:rsidR="00CB4F72" w:rsidRPr="00111C04" w:rsidRDefault="00CB4F72" w:rsidP="003B1C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Již se nezjišťují</w:t>
            </w:r>
          </w:p>
        </w:tc>
      </w:tr>
      <w:tr w:rsidR="00CB4F72" w:rsidRPr="002A5C83" w14:paraId="4A899B10" w14:textId="77777777" w:rsidTr="003B1C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D1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den matek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55E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E14A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58CF16ED" w14:textId="77777777" w:rsidTr="003B1C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415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dětský den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959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25BB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01E0BAC2" w14:textId="77777777" w:rsidTr="003B1C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172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drakiáda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E35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6F24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5E1DF4F4" w14:textId="77777777" w:rsidTr="003B1C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F90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vánoční besídka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BCC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111C04">
              <w:rPr>
                <w:rFonts w:eastAsia="Times New Roman"/>
                <w:color w:val="000000"/>
                <w:lang w:eastAsia="cs-CZ"/>
              </w:rPr>
              <w:t>1.000,00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82B4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777F454F" w14:textId="77777777" w:rsidTr="003B1CE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0C02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A9F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1C0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140F" w14:textId="77777777" w:rsidR="00CB4F72" w:rsidRPr="00111C04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B4F72" w:rsidRPr="002A5C83" w14:paraId="3F97DBD1" w14:textId="77777777" w:rsidTr="003B1CE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DAF0" w14:textId="77777777" w:rsidR="00CB4F72" w:rsidRPr="00111C04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111C" w14:textId="77777777" w:rsidR="00CB4F72" w:rsidRPr="00111C04" w:rsidRDefault="00CB4F72" w:rsidP="003B1C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5CE6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B4F72" w:rsidRPr="002A5C83" w14:paraId="729F211D" w14:textId="77777777" w:rsidTr="003B1CE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A8DB" w14:textId="77777777" w:rsidR="00CB4F72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Dětský tábor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C1C8" w14:textId="77777777" w:rsidR="00CB4F72" w:rsidRDefault="00CB4F72" w:rsidP="003B1C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3.000,00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08E6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DC65343" w14:textId="77777777" w:rsidR="00CB4F72" w:rsidRDefault="00CB4F72" w:rsidP="00CB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8.000,00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forma daru-nepodléhá </w:t>
      </w:r>
      <w:proofErr w:type="spellStart"/>
      <w:r>
        <w:rPr>
          <w:b/>
          <w:sz w:val="24"/>
          <w:szCs w:val="24"/>
        </w:rPr>
        <w:t>fin.kontrole</w:t>
      </w:r>
      <w:proofErr w:type="spellEnd"/>
      <w:r>
        <w:rPr>
          <w:b/>
          <w:sz w:val="24"/>
          <w:szCs w:val="24"/>
        </w:rPr>
        <w:t>)</w:t>
      </w:r>
    </w:p>
    <w:p w14:paraId="1C7529C1" w14:textId="77777777" w:rsidR="00CB4F72" w:rsidRDefault="00CB4F72" w:rsidP="00CB4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Služby Mikolajice s.r.o.</w:t>
      </w:r>
      <w:r>
        <w:rPr>
          <w:b/>
          <w:sz w:val="24"/>
          <w:szCs w:val="24"/>
        </w:rPr>
        <w:tab/>
        <w:t>příjem</w:t>
      </w:r>
      <w:r>
        <w:rPr>
          <w:b/>
          <w:sz w:val="24"/>
          <w:szCs w:val="24"/>
        </w:rPr>
        <w:tab/>
        <w:t>400.299,00</w:t>
      </w:r>
      <w:r>
        <w:rPr>
          <w:b/>
          <w:sz w:val="24"/>
          <w:szCs w:val="24"/>
        </w:rPr>
        <w:tab/>
        <w:t>výdej 400.299,00</w:t>
      </w:r>
    </w:p>
    <w:p w14:paraId="55CF809E" w14:textId="77777777" w:rsidR="00CB4F72" w:rsidRPr="008D173F" w:rsidRDefault="00CB4F72" w:rsidP="00CB4F72">
      <w:pPr>
        <w:rPr>
          <w:sz w:val="24"/>
          <w:szCs w:val="24"/>
        </w:rPr>
      </w:pPr>
      <w:r>
        <w:rPr>
          <w:sz w:val="24"/>
          <w:szCs w:val="24"/>
        </w:rPr>
        <w:t>(veřejnoprávní smlouvy)</w:t>
      </w:r>
    </w:p>
    <w:p w14:paraId="14860D62" w14:textId="77777777" w:rsidR="00CB4F72" w:rsidRPr="00C66FD3" w:rsidRDefault="00CB4F72" w:rsidP="00CB4F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Poskytnuté d</w:t>
      </w:r>
      <w:r w:rsidRPr="00C66FD3">
        <w:rPr>
          <w:b/>
          <w:sz w:val="24"/>
          <w:szCs w:val="24"/>
        </w:rPr>
        <w:t xml:space="preserve">otace </w:t>
      </w:r>
    </w:p>
    <w:p w14:paraId="75BC3639" w14:textId="77777777" w:rsidR="00CB4F72" w:rsidRDefault="00CB4F72" w:rsidP="00CB4F72">
      <w:pPr>
        <w:jc w:val="both"/>
      </w:pPr>
      <w:r>
        <w:t xml:space="preserve">Za rok 2021 byly v průběhu roku poskytnuty dary ČČK Mikolajice, a to v celkové výši Kč 5.000,-, ČČK na dětský tábor ve výši Kč </w:t>
      </w:r>
      <w:proofErr w:type="gramStart"/>
      <w:r>
        <w:t>3.000,-</w:t>
      </w:r>
      <w:proofErr w:type="gramEnd"/>
      <w:r>
        <w:t>. Tyto dary nepodléhají finanční kontrole.</w:t>
      </w:r>
    </w:p>
    <w:p w14:paraId="50792FCD" w14:textId="77777777" w:rsidR="00CB4F72" w:rsidRDefault="00CB4F72" w:rsidP="00CB4F72">
      <w:pPr>
        <w:jc w:val="both"/>
      </w:pPr>
      <w:r>
        <w:t xml:space="preserve">Za rok 2021, bylo Službám Mikolajice s.r.o., společnosti ve 100% vlastnictví obce poskytnuto na neinvestiční dotace v rámci veřejnoprávních smluv Kč 400.299,00. Tyto prostředky byly v rámci finanční </w:t>
      </w:r>
      <w:proofErr w:type="gramStart"/>
      <w:r>
        <w:t>kontroly  hospodaření</w:t>
      </w:r>
      <w:proofErr w:type="gramEnd"/>
      <w:r>
        <w:t xml:space="preserve"> řádně zkontrolovány, byly využity na účely, pro které byly poskytnuty. Nebylo zjištěno porušení. </w:t>
      </w:r>
    </w:p>
    <w:p w14:paraId="542BB87E" w14:textId="77777777" w:rsidR="00CB4F72" w:rsidRPr="00C66FD3" w:rsidRDefault="00CB4F72" w:rsidP="00CB4F72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Dotace obce</w:t>
      </w:r>
    </w:p>
    <w:p w14:paraId="2C519EA1" w14:textId="77777777" w:rsidR="00CB4F72" w:rsidRDefault="00CB4F72" w:rsidP="00CB4F72">
      <w:r>
        <w:t xml:space="preserve">Dotace do rozpočtu obce za rok 2021 činily celkem </w:t>
      </w:r>
      <w:proofErr w:type="gramStart"/>
      <w:r>
        <w:t>Kč  3.005.280</w:t>
      </w:r>
      <w:proofErr w:type="gramEnd"/>
      <w:r>
        <w:t xml:space="preserve">,00 . </w:t>
      </w:r>
      <w:proofErr w:type="gramStart"/>
      <w:r>
        <w:t>Rozpis  přijatých</w:t>
      </w:r>
      <w:proofErr w:type="gramEnd"/>
      <w:r>
        <w:t xml:space="preserve"> dotací a jejich čerpání je uveden v následující tabulce. Dotace byly řádně a v termínu vyúčtovány. Některé investiční akce z roku </w:t>
      </w:r>
      <w:proofErr w:type="gramStart"/>
      <w:r>
        <w:t>2020  pokračují</w:t>
      </w:r>
      <w:proofErr w:type="gramEnd"/>
      <w:r>
        <w:t>, některé započaly v roce 2021 a budou ukončeny v roce 2022, po konečném vyúčtování budou připsány příjmy z dotací.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2100"/>
        <w:gridCol w:w="1518"/>
        <w:gridCol w:w="1559"/>
      </w:tblGrid>
      <w:tr w:rsidR="00CB4F72" w:rsidRPr="002A5C83" w14:paraId="41355948" w14:textId="77777777" w:rsidTr="003B1CEA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CB2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4F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Dotace obce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A12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379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81D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7549A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76B06C41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07FB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0671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0A38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F935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67518D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B4F72" w:rsidRPr="002A5C83" w14:paraId="61B5E932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83D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B76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příjmy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F03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výdaje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A434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Vratka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EF4EFB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Vlastní financování</w:t>
            </w:r>
          </w:p>
        </w:tc>
      </w:tr>
      <w:tr w:rsidR="00CB4F72" w:rsidRPr="002A5C83" w14:paraId="48276AE3" w14:textId="77777777" w:rsidTr="003B1CE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04D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Lesy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B58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99.509,</w:t>
            </w:r>
            <w:r w:rsidRPr="00014F2E">
              <w:rPr>
                <w:rFonts w:eastAsia="Times New Roman"/>
                <w:color w:val="000000"/>
                <w:lang w:eastAsia="cs-CZ"/>
              </w:rPr>
              <w:t>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22D9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99.509,00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D8A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7C1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CB4F72" w:rsidRPr="002A5C83" w14:paraId="5F0D219C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403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výkon státní správy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FFF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70.800,00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895D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70.800,00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273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14F2E"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26D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CB4F72" w:rsidRPr="002A5C83" w14:paraId="6631F310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87D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SDH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C95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18.117,00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3A50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7.100,00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BCC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572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11.017,00</w:t>
            </w:r>
          </w:p>
        </w:tc>
      </w:tr>
      <w:tr w:rsidR="00CB4F72" w:rsidRPr="002A5C83" w14:paraId="166AC369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A60C" w14:textId="77777777" w:rsidR="00CB4F72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Místní komunikace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F028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1.662.854,00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5E12E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2.078.569,00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99D2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DA6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415.715,00</w:t>
            </w:r>
          </w:p>
        </w:tc>
      </w:tr>
      <w:tr w:rsidR="00CB4F72" w:rsidRPr="002A5C83" w14:paraId="5F03166C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5F46" w14:textId="77777777" w:rsidR="00CB4F72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„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kotlíkovky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>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C8E3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596422">
              <w:rPr>
                <w:rFonts w:eastAsia="Times New Roman"/>
                <w:color w:val="FF0000"/>
                <w:lang w:eastAsia="cs-CZ"/>
              </w:rPr>
              <w:t>Příjem roku 2020 1.680.000,00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D78BE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860.000,00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E76A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7E9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CB4F72" w:rsidRPr="002A5C83" w14:paraId="69B9A6B6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1098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Volby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4527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31.000,00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EA9E8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15.533,00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00BA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15.467,00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212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</w:tr>
      <w:tr w:rsidR="00CB4F72" w:rsidRPr="002A5C83" w14:paraId="05322965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7CB8" w14:textId="77777777" w:rsidR="00CB4F72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Dětské hřiště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6832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1.123.000,00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83FB3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1.135.414,39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8154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6A" w14:textId="77777777" w:rsidR="00CB4F72" w:rsidRPr="008D173F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 w:rsidRPr="008D173F">
              <w:rPr>
                <w:rFonts w:eastAsia="Times New Roman"/>
                <w:color w:val="FF0000"/>
                <w:lang w:eastAsia="cs-CZ"/>
              </w:rPr>
              <w:t>Akce ještě není dokončena</w:t>
            </w:r>
          </w:p>
        </w:tc>
      </w:tr>
      <w:tr w:rsidR="00CB4F72" w:rsidRPr="002A5C83" w14:paraId="66CCBA77" w14:textId="77777777" w:rsidTr="003B1CE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B399" w14:textId="77777777" w:rsidR="00CB4F72" w:rsidRDefault="00CB4F72" w:rsidP="003B1CE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Revitalizace nádrže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DF5B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022079">
              <w:rPr>
                <w:rFonts w:eastAsia="Times New Roman"/>
                <w:color w:val="FF0000"/>
                <w:lang w:eastAsia="cs-CZ"/>
              </w:rPr>
              <w:t>Příjem v roce 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D79C0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2.064.103,96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B6D4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B6D" w14:textId="77777777" w:rsidR="00CB4F72" w:rsidRPr="008D173F" w:rsidRDefault="00CB4F72" w:rsidP="003B1CEA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Akce ještě není dokončena</w:t>
            </w:r>
          </w:p>
        </w:tc>
      </w:tr>
      <w:tr w:rsidR="00CB4F72" w:rsidRPr="002A5C83" w14:paraId="4570D8FF" w14:textId="77777777" w:rsidTr="003B1CEA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736" w14:textId="77777777" w:rsidR="00CB4F72" w:rsidRPr="00014F2E" w:rsidRDefault="00CB4F72" w:rsidP="003B1C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4F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69C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3.005.280,00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90A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5.929.383,96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195" w14:textId="77777777" w:rsidR="00CB4F72" w:rsidRPr="00014F2E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15.467,00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B6A8A7" w14:textId="77777777" w:rsidR="00CB4F72" w:rsidRDefault="00CB4F72" w:rsidP="003B1CE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5418FAC" w14:textId="77777777" w:rsidR="00CB4F72" w:rsidRDefault="00CB4F72" w:rsidP="00CB4F72"/>
    <w:p w14:paraId="0F317595" w14:textId="7E1BE069" w:rsidR="00CB4F72" w:rsidRDefault="00CB4F72" w:rsidP="00CB4F72">
      <w:pPr>
        <w:rPr>
          <w:b/>
          <w:sz w:val="28"/>
          <w:szCs w:val="28"/>
        </w:rPr>
      </w:pPr>
      <w:r w:rsidRPr="00CB4F72">
        <w:rPr>
          <w:b/>
          <w:sz w:val="28"/>
          <w:szCs w:val="28"/>
        </w:rPr>
        <w:t>Výsledky</w:t>
      </w:r>
      <w:r w:rsidRPr="00CB4F72">
        <w:rPr>
          <w:b/>
          <w:sz w:val="28"/>
          <w:szCs w:val="28"/>
        </w:rPr>
        <w:t xml:space="preserve"> </w:t>
      </w:r>
      <w:r w:rsidRPr="00A70CFA">
        <w:rPr>
          <w:b/>
          <w:sz w:val="28"/>
          <w:szCs w:val="28"/>
        </w:rPr>
        <w:t>hospodaření fy Služby Mikolajice s.r.o. – organizace zřízena obcí Mikolajice, která má ve společnosti podíl 100</w:t>
      </w:r>
      <w:proofErr w:type="gramStart"/>
      <w:r w:rsidRPr="00A70CFA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.</w:t>
      </w:r>
      <w:proofErr w:type="gramEnd"/>
    </w:p>
    <w:p w14:paraId="77787C2A" w14:textId="358AD739" w:rsidR="00CB4F72" w:rsidRDefault="00CB4F72" w:rsidP="00CB4F72">
      <w:pPr>
        <w:rPr>
          <w:sz w:val="28"/>
          <w:szCs w:val="28"/>
        </w:rPr>
      </w:pPr>
      <w:r>
        <w:rPr>
          <w:sz w:val="28"/>
          <w:szCs w:val="28"/>
        </w:rPr>
        <w:t>Náklady roku 2021 byly ve výši Kč 2.</w:t>
      </w:r>
      <w:r w:rsidR="003F51D6">
        <w:rPr>
          <w:sz w:val="28"/>
          <w:szCs w:val="28"/>
        </w:rPr>
        <w:t>159</w:t>
      </w:r>
      <w:r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výnosy</w:t>
      </w:r>
      <w:proofErr w:type="gramEnd"/>
      <w:r>
        <w:rPr>
          <w:sz w:val="28"/>
          <w:szCs w:val="28"/>
        </w:rPr>
        <w:t xml:space="preserve"> roku 2021 činily celkem Kč </w:t>
      </w:r>
      <w:r>
        <w:rPr>
          <w:sz w:val="28"/>
          <w:szCs w:val="28"/>
        </w:rPr>
        <w:t>2.096.000,-</w:t>
      </w:r>
      <w:r>
        <w:rPr>
          <w:sz w:val="28"/>
          <w:szCs w:val="28"/>
        </w:rPr>
        <w:t>. Výsledek hospodaření po zdanění je ztráta ve výši Kč</w:t>
      </w:r>
      <w:r w:rsidR="003F51D6">
        <w:rPr>
          <w:sz w:val="28"/>
          <w:szCs w:val="28"/>
        </w:rPr>
        <w:t xml:space="preserve">  63.000,-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Aktiva společnosti jsou ve výši Kč </w:t>
      </w:r>
      <w:r w:rsidR="003F51D6">
        <w:rPr>
          <w:sz w:val="28"/>
          <w:szCs w:val="28"/>
        </w:rPr>
        <w:t>2.106.000</w:t>
      </w:r>
      <w:r>
        <w:rPr>
          <w:sz w:val="28"/>
          <w:szCs w:val="28"/>
        </w:rPr>
        <w:t>,</w:t>
      </w:r>
      <w:r w:rsidR="003F51D6">
        <w:rPr>
          <w:sz w:val="28"/>
          <w:szCs w:val="28"/>
        </w:rPr>
        <w:t>-</w:t>
      </w:r>
      <w:r>
        <w:rPr>
          <w:sz w:val="28"/>
          <w:szCs w:val="28"/>
        </w:rPr>
        <w:t xml:space="preserve"> základní kapitál je Kč 50.000,-.</w:t>
      </w:r>
    </w:p>
    <w:p w14:paraId="64404972" w14:textId="77777777" w:rsidR="00CB4F72" w:rsidRPr="009C7416" w:rsidRDefault="00CB4F72" w:rsidP="00CB4F72">
      <w:pPr>
        <w:rPr>
          <w:sz w:val="24"/>
          <w:szCs w:val="24"/>
        </w:rPr>
      </w:pPr>
      <w:r w:rsidRPr="002F1373">
        <w:rPr>
          <w:sz w:val="24"/>
          <w:szCs w:val="24"/>
        </w:rPr>
        <w:t>Výkazy (rozvaha a výkaz zisku a ztrát v plném rozsahu) jsou součástí závěrečného účtu hospodaření obce Mikolajice za rok 20</w:t>
      </w:r>
      <w:r>
        <w:rPr>
          <w:sz w:val="24"/>
          <w:szCs w:val="24"/>
        </w:rPr>
        <w:t>21</w:t>
      </w:r>
      <w:r w:rsidRPr="002F1373">
        <w:rPr>
          <w:sz w:val="24"/>
          <w:szCs w:val="24"/>
        </w:rPr>
        <w:t xml:space="preserve"> a jsou k nahlédnutí v kanceláři obecního úřadu.</w:t>
      </w:r>
    </w:p>
    <w:p w14:paraId="114E93BA" w14:textId="77777777" w:rsidR="00CB4F72" w:rsidRPr="00C66FD3" w:rsidRDefault="00CB4F72" w:rsidP="00CB4F72">
      <w:pPr>
        <w:jc w:val="center"/>
        <w:rPr>
          <w:b/>
          <w:sz w:val="36"/>
          <w:szCs w:val="36"/>
        </w:rPr>
      </w:pPr>
      <w:r w:rsidRPr="00C66FD3">
        <w:rPr>
          <w:b/>
          <w:sz w:val="36"/>
          <w:szCs w:val="36"/>
        </w:rPr>
        <w:lastRenderedPageBreak/>
        <w:t>Zpráva o výsledku přezkoumání hospodaření obce Mikolajice za rok 20</w:t>
      </w:r>
      <w:r>
        <w:rPr>
          <w:b/>
          <w:sz w:val="36"/>
          <w:szCs w:val="36"/>
        </w:rPr>
        <w:t>21</w:t>
      </w:r>
    </w:p>
    <w:p w14:paraId="0E85FCF9" w14:textId="77777777" w:rsidR="00CB4F72" w:rsidRPr="00C66FD3" w:rsidRDefault="00CB4F72" w:rsidP="00CB4F72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>Přezkoumání hospodaření provedl</w:t>
      </w:r>
      <w:r>
        <w:rPr>
          <w:sz w:val="24"/>
          <w:szCs w:val="24"/>
        </w:rPr>
        <w:t xml:space="preserve"> Krajský úřad MSK, ve složení Ing. Eva Samková a Ing. Blanka Gábová, a to dne 18. 10. 2021 a dne 22. 3. 2022.</w:t>
      </w:r>
      <w:r w:rsidRPr="00C66FD3">
        <w:rPr>
          <w:sz w:val="24"/>
          <w:szCs w:val="24"/>
        </w:rPr>
        <w:t xml:space="preserve"> </w:t>
      </w:r>
    </w:p>
    <w:p w14:paraId="45468AFD" w14:textId="77777777" w:rsidR="00CB4F72" w:rsidRPr="00C66FD3" w:rsidRDefault="00CB4F72" w:rsidP="00CB4F72">
      <w:r w:rsidRPr="00C66FD3">
        <w:t>Přezkoumání bylo provedeno v souladu se zákonem č. 420/2004 Sb., o přezkoumání hospodaření územních samosprávných celků a dobrovolných svazků obcí</w:t>
      </w:r>
      <w:r>
        <w:t>.</w:t>
      </w:r>
    </w:p>
    <w:p w14:paraId="3E4EDE08" w14:textId="77777777" w:rsidR="00CB4F72" w:rsidRDefault="00CB4F72" w:rsidP="00CB4F72"/>
    <w:p w14:paraId="72A8B5BD" w14:textId="77777777" w:rsidR="00CB4F72" w:rsidRDefault="00CB4F72" w:rsidP="00CB4F72">
      <w:pPr>
        <w:rPr>
          <w:b/>
          <w:sz w:val="28"/>
          <w:szCs w:val="28"/>
        </w:rPr>
      </w:pPr>
      <w:r w:rsidRPr="00C66FD3">
        <w:rPr>
          <w:b/>
          <w:sz w:val="28"/>
          <w:szCs w:val="28"/>
        </w:rPr>
        <w:t xml:space="preserve">Závěr zprávy: </w:t>
      </w:r>
      <w:r>
        <w:rPr>
          <w:b/>
          <w:sz w:val="28"/>
          <w:szCs w:val="28"/>
        </w:rPr>
        <w:t>Přezkoumání hospodaření obce Mikolajice za rok 2021 skončilo výrokem „byly zjištěny chyby a nedostatky dle § 10, odst.3 písmena b, které nemají závažnost nedostatků uvedených pod písmenem c)“.</w:t>
      </w:r>
    </w:p>
    <w:p w14:paraId="4D5115E3" w14:textId="77777777" w:rsidR="00CB4F72" w:rsidRPr="00C66FD3" w:rsidRDefault="00CB4F72" w:rsidP="00CB4F72">
      <w:pPr>
        <w:rPr>
          <w:sz w:val="24"/>
          <w:szCs w:val="24"/>
        </w:rPr>
      </w:pPr>
      <w:r w:rsidRPr="00C66FD3">
        <w:rPr>
          <w:sz w:val="24"/>
          <w:szCs w:val="24"/>
        </w:rPr>
        <w:t>Plné znění zprávy o provedeném přezkoumání hospodaření obce za rok 20</w:t>
      </w:r>
      <w:r>
        <w:rPr>
          <w:sz w:val="24"/>
          <w:szCs w:val="24"/>
        </w:rPr>
        <w:t>21</w:t>
      </w:r>
      <w:r w:rsidRPr="00C66FD3">
        <w:rPr>
          <w:sz w:val="24"/>
          <w:szCs w:val="24"/>
        </w:rPr>
        <w:t xml:space="preserve"> je k nahlédnutí v kanceláři obecního úřadu</w:t>
      </w:r>
      <w:r>
        <w:rPr>
          <w:sz w:val="24"/>
          <w:szCs w:val="24"/>
        </w:rPr>
        <w:t>.</w:t>
      </w:r>
    </w:p>
    <w:p w14:paraId="3AC1739E" w14:textId="77777777" w:rsidR="00CB4F72" w:rsidRDefault="00CB4F72" w:rsidP="00CB4F72">
      <w:pPr>
        <w:jc w:val="both"/>
        <w:rPr>
          <w:sz w:val="24"/>
          <w:szCs w:val="24"/>
        </w:rPr>
      </w:pPr>
      <w:r w:rsidRPr="00C66FD3">
        <w:rPr>
          <w:sz w:val="24"/>
          <w:szCs w:val="24"/>
        </w:rPr>
        <w:t xml:space="preserve">Mikolajice, </w:t>
      </w:r>
      <w:r>
        <w:rPr>
          <w:sz w:val="24"/>
          <w:szCs w:val="24"/>
        </w:rPr>
        <w:t>29. 4. 2022</w:t>
      </w:r>
    </w:p>
    <w:p w14:paraId="2A7D392F" w14:textId="77777777" w:rsidR="00CB4F72" w:rsidRDefault="00CB4F72" w:rsidP="00CB4F72">
      <w:pPr>
        <w:rPr>
          <w:sz w:val="24"/>
          <w:szCs w:val="24"/>
        </w:rPr>
      </w:pPr>
    </w:p>
    <w:p w14:paraId="2107902D" w14:textId="77777777" w:rsidR="00CB4F72" w:rsidRPr="00C66FD3" w:rsidRDefault="00CB4F72" w:rsidP="00CB4F72">
      <w:pPr>
        <w:rPr>
          <w:b/>
          <w:sz w:val="32"/>
          <w:szCs w:val="32"/>
        </w:rPr>
      </w:pPr>
      <w:r w:rsidRPr="00C66FD3">
        <w:rPr>
          <w:b/>
          <w:sz w:val="32"/>
          <w:szCs w:val="32"/>
        </w:rPr>
        <w:t>Předkládá:</w:t>
      </w:r>
    </w:p>
    <w:p w14:paraId="3A32C87E" w14:textId="77777777" w:rsidR="00CB4F72" w:rsidRPr="004D7D51" w:rsidRDefault="00CB4F72" w:rsidP="00CB4F72">
      <w:pPr>
        <w:jc w:val="both"/>
        <w:rPr>
          <w:b/>
          <w:bCs/>
          <w:sz w:val="24"/>
          <w:szCs w:val="24"/>
        </w:rPr>
      </w:pPr>
      <w:proofErr w:type="gramStart"/>
      <w:r w:rsidRPr="004D7D51">
        <w:rPr>
          <w:b/>
          <w:bCs/>
          <w:sz w:val="24"/>
          <w:szCs w:val="24"/>
        </w:rPr>
        <w:t>„ Zastupitelstvo</w:t>
      </w:r>
      <w:proofErr w:type="gramEnd"/>
      <w:r w:rsidRPr="004D7D51">
        <w:rPr>
          <w:b/>
          <w:bCs/>
          <w:sz w:val="24"/>
          <w:szCs w:val="24"/>
        </w:rPr>
        <w:t xml:space="preserve"> obce uděluje souhlas s celoročním hospodařením a závěrečným účtem obce za rok 202</w:t>
      </w:r>
      <w:r>
        <w:rPr>
          <w:b/>
          <w:bCs/>
          <w:sz w:val="24"/>
          <w:szCs w:val="24"/>
        </w:rPr>
        <w:t>1</w:t>
      </w:r>
      <w:r w:rsidRPr="004D7D51">
        <w:rPr>
          <w:b/>
          <w:bCs/>
          <w:sz w:val="24"/>
          <w:szCs w:val="24"/>
        </w:rPr>
        <w:t>, včetně zprávy nezávislého auditora o výsledku přezkoumání hospodaření obce za rok 202</w:t>
      </w:r>
      <w:r>
        <w:rPr>
          <w:b/>
          <w:bCs/>
          <w:sz w:val="24"/>
          <w:szCs w:val="24"/>
        </w:rPr>
        <w:t>1</w:t>
      </w:r>
      <w:r w:rsidRPr="004D7D51">
        <w:rPr>
          <w:b/>
          <w:bCs/>
          <w:sz w:val="24"/>
          <w:szCs w:val="24"/>
        </w:rPr>
        <w:t>, s výrokem „byly dle § 10 odst. 3 písm.</w:t>
      </w:r>
      <w:r>
        <w:rPr>
          <w:b/>
          <w:bCs/>
          <w:sz w:val="24"/>
          <w:szCs w:val="24"/>
        </w:rPr>
        <w:t xml:space="preserve"> b</w:t>
      </w:r>
      <w:r w:rsidRPr="004D7D51">
        <w:rPr>
          <w:b/>
          <w:bCs/>
          <w:sz w:val="24"/>
          <w:szCs w:val="24"/>
        </w:rPr>
        <w:t>) zjištěny chyby a nedostatky</w:t>
      </w:r>
      <w:r>
        <w:rPr>
          <w:b/>
          <w:bCs/>
          <w:sz w:val="24"/>
          <w:szCs w:val="24"/>
        </w:rPr>
        <w:t>, které nemají závažnost nedostatků uvedených pod písmenem c)“</w:t>
      </w:r>
      <w:r w:rsidRPr="004D7D51">
        <w:rPr>
          <w:b/>
          <w:bCs/>
          <w:sz w:val="24"/>
          <w:szCs w:val="24"/>
        </w:rPr>
        <w:t>.</w:t>
      </w:r>
    </w:p>
    <w:p w14:paraId="494261D0" w14:textId="77777777" w:rsidR="00CB4F72" w:rsidRDefault="00CB4F72" w:rsidP="00CB4F72">
      <w:pPr>
        <w:jc w:val="both"/>
      </w:pPr>
      <w:r>
        <w:rPr>
          <w:sz w:val="24"/>
          <w:szCs w:val="24"/>
        </w:rPr>
        <w:t>Protože za rok 2020 nebyly zjištěny chyby a nedostatky, obec nebyla povinna přijmout opatření k nápravě.</w:t>
      </w:r>
    </w:p>
    <w:p w14:paraId="12AF52D0" w14:textId="77777777" w:rsidR="00CB4F72" w:rsidRDefault="00CB4F72" w:rsidP="00CB4F72">
      <w:pPr>
        <w:ind w:left="360"/>
        <w:jc w:val="both"/>
      </w:pPr>
    </w:p>
    <w:p w14:paraId="6B08BEC4" w14:textId="77777777" w:rsidR="00CB4F72" w:rsidRDefault="00CB4F72" w:rsidP="00CB4F72">
      <w:pPr>
        <w:ind w:left="360"/>
        <w:jc w:val="both"/>
      </w:pPr>
      <w:r>
        <w:t>Zpracoval: Vykydalová Pavla</w:t>
      </w:r>
    </w:p>
    <w:p w14:paraId="498B50CD" w14:textId="77777777" w:rsidR="00CB4F72" w:rsidRDefault="00CB4F72" w:rsidP="00CB4F72"/>
    <w:p w14:paraId="00A79C06" w14:textId="77777777" w:rsidR="00CB4F72" w:rsidRDefault="00CB4F72" w:rsidP="00CB4F72">
      <w:r>
        <w:t>………………………………………………….</w:t>
      </w:r>
    </w:p>
    <w:p w14:paraId="39193399" w14:textId="77777777" w:rsidR="00CB4F72" w:rsidRDefault="00CB4F72" w:rsidP="00CB4F72">
      <w:r>
        <w:t>Martin Krupa</w:t>
      </w:r>
    </w:p>
    <w:p w14:paraId="16DD4EE0" w14:textId="77777777" w:rsidR="00CB4F72" w:rsidRDefault="00CB4F72" w:rsidP="00CB4F72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vyvěšeno: 9. 5. 2022</w:t>
      </w:r>
    </w:p>
    <w:p w14:paraId="4327A198" w14:textId="1F4A2666" w:rsidR="00CB4F72" w:rsidRDefault="00CB4F72" w:rsidP="00CB4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sňato: </w:t>
      </w:r>
      <w:r w:rsidR="003F51D6">
        <w:t>27. 5. 2022</w:t>
      </w:r>
    </w:p>
    <w:p w14:paraId="626F233A" w14:textId="36D2A861" w:rsidR="00CB4F72" w:rsidRDefault="00CB4F72" w:rsidP="00CB4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schváleno: </w:t>
      </w:r>
      <w:r w:rsidR="003F51D6">
        <w:t>30. 5. 2022</w:t>
      </w:r>
    </w:p>
    <w:sectPr w:rsidR="00CB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2"/>
    <w:rsid w:val="0032048B"/>
    <w:rsid w:val="003F51D6"/>
    <w:rsid w:val="00B32FB8"/>
    <w:rsid w:val="00CB4F72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B0D"/>
  <w15:chartTrackingRefBased/>
  <w15:docId w15:val="{F4EDC5E1-0730-4FA6-86D9-97BBFD8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1738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2022-11-21T08:55:00Z</dcterms:created>
  <dcterms:modified xsi:type="dcterms:W3CDTF">2022-11-21T09:48:00Z</dcterms:modified>
</cp:coreProperties>
</file>